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887A">
      <w:pPr>
        <w:spacing w:line="360" w:lineRule="auto"/>
        <w:jc w:val="center"/>
        <w:rPr>
          <w:rFonts w:hint="eastAsia" w:ascii="宋体" w:hAnsi="宋体" w:eastAsia="宋体"/>
          <w:b/>
          <w:bCs/>
          <w:sz w:val="36"/>
          <w:szCs w:val="36"/>
        </w:rPr>
      </w:pPr>
      <w:r>
        <w:rPr>
          <w:rFonts w:hint="eastAsia" w:ascii="宋体" w:hAnsi="宋体" w:eastAsia="宋体"/>
          <w:b/>
          <w:bCs/>
          <w:sz w:val="36"/>
          <w:szCs w:val="36"/>
        </w:rPr>
        <w:t>重庆市田径协会招标公告</w:t>
      </w:r>
    </w:p>
    <w:p w14:paraId="118B946D">
      <w:pPr>
        <w:spacing w:line="360" w:lineRule="auto"/>
        <w:jc w:val="both"/>
        <w:rPr>
          <w:rFonts w:ascii="宋体" w:hAnsi="宋体" w:eastAsia="宋体"/>
          <w:b/>
          <w:bCs/>
          <w:sz w:val="24"/>
        </w:rPr>
      </w:pPr>
      <w:r>
        <w:rPr>
          <w:rFonts w:ascii="宋体" w:hAnsi="宋体" w:eastAsia="宋体"/>
          <w:b/>
          <w:bCs/>
          <w:sz w:val="24"/>
        </w:rPr>
        <w:t>相关</w:t>
      </w:r>
      <w:r>
        <w:rPr>
          <w:rFonts w:hint="eastAsia" w:ascii="宋体" w:hAnsi="宋体" w:eastAsia="宋体"/>
          <w:b/>
          <w:bCs/>
          <w:sz w:val="24"/>
        </w:rPr>
        <w:t>供应方</w:t>
      </w:r>
      <w:r>
        <w:rPr>
          <w:rFonts w:ascii="宋体" w:hAnsi="宋体" w:eastAsia="宋体"/>
          <w:b/>
          <w:bCs/>
          <w:sz w:val="24"/>
        </w:rPr>
        <w:t>:</w:t>
      </w:r>
    </w:p>
    <w:p w14:paraId="3C573A83">
      <w:pPr>
        <w:spacing w:line="360" w:lineRule="auto"/>
        <w:ind w:firstLine="480" w:firstLineChars="200"/>
        <w:jc w:val="both"/>
        <w:rPr>
          <w:rFonts w:ascii="宋体" w:hAnsi="宋体" w:eastAsia="宋体"/>
          <w:sz w:val="24"/>
        </w:rPr>
      </w:pPr>
      <w:r>
        <w:rPr>
          <w:rFonts w:hint="eastAsia" w:ascii="宋体" w:hAnsi="宋体" w:eastAsia="宋体"/>
          <w:sz w:val="24"/>
        </w:rPr>
        <w:t>重庆市田径协会拟</w:t>
      </w:r>
      <w:r>
        <w:rPr>
          <w:rFonts w:ascii="宋体" w:hAnsi="宋体" w:eastAsia="宋体"/>
          <w:sz w:val="24"/>
        </w:rPr>
        <w:t>选聘</w:t>
      </w:r>
      <w:r>
        <w:rPr>
          <w:rFonts w:hint="eastAsia" w:ascii="宋体" w:hAnsi="宋体" w:eastAsia="宋体"/>
          <w:sz w:val="24"/>
        </w:rPr>
        <w:t>相关服务单位为我会提供【</w:t>
      </w:r>
      <w:r>
        <w:rPr>
          <w:rFonts w:ascii="宋体" w:hAnsi="宋体" w:eastAsia="宋体"/>
          <w:sz w:val="24"/>
        </w:rPr>
        <w:t>2026年西南大学体育学院田径贰级裁判培训晋级考试</w:t>
      </w:r>
      <w:r>
        <w:rPr>
          <w:rFonts w:hint="eastAsia" w:ascii="宋体" w:hAnsi="宋体" w:eastAsia="宋体"/>
          <w:sz w:val="24"/>
        </w:rPr>
        <w:t>】</w:t>
      </w:r>
      <w:r>
        <w:rPr>
          <w:rFonts w:ascii="宋体" w:hAnsi="宋体" w:eastAsia="宋体"/>
          <w:sz w:val="24"/>
        </w:rPr>
        <w:t>服务(以下简称“</w:t>
      </w:r>
      <w:r>
        <w:rPr>
          <w:rFonts w:hint="eastAsia" w:ascii="宋体" w:hAnsi="宋体" w:eastAsia="宋体"/>
          <w:sz w:val="24"/>
        </w:rPr>
        <w:t>培训</w:t>
      </w:r>
      <w:r>
        <w:rPr>
          <w:rFonts w:ascii="宋体" w:hAnsi="宋体" w:eastAsia="宋体"/>
          <w:sz w:val="24"/>
        </w:rPr>
        <w:t>服务”)，特邀请贵</w:t>
      </w:r>
      <w:r>
        <w:rPr>
          <w:rFonts w:hint="eastAsia" w:ascii="宋体" w:hAnsi="宋体" w:eastAsia="宋体"/>
          <w:sz w:val="24"/>
        </w:rPr>
        <w:t>方</w:t>
      </w:r>
      <w:r>
        <w:rPr>
          <w:rFonts w:ascii="宋体" w:hAnsi="宋体" w:eastAsia="宋体"/>
          <w:sz w:val="24"/>
        </w:rPr>
        <w:t>参与</w:t>
      </w:r>
      <w:r>
        <w:rPr>
          <w:rFonts w:hint="eastAsia" w:ascii="宋体" w:hAnsi="宋体" w:eastAsia="宋体"/>
          <w:sz w:val="24"/>
        </w:rPr>
        <w:t>培训服务</w:t>
      </w:r>
      <w:r>
        <w:rPr>
          <w:rFonts w:ascii="宋体" w:hAnsi="宋体" w:eastAsia="宋体"/>
          <w:sz w:val="24"/>
        </w:rPr>
        <w:t>的报价。现将</w:t>
      </w:r>
      <w:r>
        <w:rPr>
          <w:rFonts w:hint="eastAsia" w:ascii="宋体" w:hAnsi="宋体" w:eastAsia="宋体"/>
          <w:sz w:val="24"/>
        </w:rPr>
        <w:t>服</w:t>
      </w:r>
      <w:r>
        <w:rPr>
          <w:rFonts w:ascii="宋体" w:hAnsi="宋体" w:eastAsia="宋体"/>
          <w:sz w:val="24"/>
        </w:rPr>
        <w:t>务内容和报价要求等告知如下，希望贵</w:t>
      </w:r>
      <w:r>
        <w:rPr>
          <w:rFonts w:hint="eastAsia" w:ascii="宋体" w:hAnsi="宋体" w:eastAsia="宋体"/>
          <w:sz w:val="24"/>
        </w:rPr>
        <w:t>方积极响应。</w:t>
      </w:r>
    </w:p>
    <w:p w14:paraId="746D2ABB">
      <w:pPr>
        <w:pStyle w:val="12"/>
        <w:ind w:firstLine="480"/>
      </w:pPr>
      <w:r>
        <w:rPr>
          <w:b/>
          <w:bCs/>
        </w:rPr>
        <w:t>一、项目名称</w:t>
      </w:r>
    </w:p>
    <w:p w14:paraId="1B0D4A3D">
      <w:pPr>
        <w:pStyle w:val="12"/>
        <w:ind w:firstLine="480"/>
      </w:pPr>
      <w:r>
        <w:t>2026年西南大学体育学院田径贰级裁判培训晋级考试</w:t>
      </w:r>
    </w:p>
    <w:p w14:paraId="67E5B4D7">
      <w:pPr>
        <w:pStyle w:val="12"/>
        <w:ind w:firstLine="480"/>
      </w:pPr>
      <w:r>
        <w:rPr>
          <w:b/>
          <w:bCs/>
        </w:rPr>
        <w:t>二、采购服务清单与服务对象</w:t>
      </w:r>
    </w:p>
    <w:p w14:paraId="72577C29">
      <w:pPr>
        <w:pStyle w:val="12"/>
        <w:ind w:firstLine="480"/>
      </w:pPr>
      <w:r>
        <w:t>服务时间：2026年</w:t>
      </w:r>
      <w:r>
        <w:rPr>
          <w:rFonts w:hint="eastAsia"/>
        </w:rPr>
        <w:t>6</w:t>
      </w:r>
      <w:r>
        <w:t>月</w:t>
      </w:r>
      <w:r>
        <w:rPr>
          <w:rFonts w:hint="eastAsia"/>
        </w:rPr>
        <w:t>4</w:t>
      </w:r>
      <w:r>
        <w:t>日至202</w:t>
      </w:r>
      <w:r>
        <w:rPr>
          <w:rFonts w:hint="eastAsia"/>
        </w:rPr>
        <w:t>6</w:t>
      </w:r>
      <w:r>
        <w:t>年6月</w:t>
      </w:r>
      <w:r>
        <w:rPr>
          <w:rFonts w:hint="eastAsia"/>
        </w:rPr>
        <w:t>7</w:t>
      </w:r>
      <w:r>
        <w:t>日</w:t>
      </w:r>
    </w:p>
    <w:p w14:paraId="585BA165">
      <w:pPr>
        <w:pStyle w:val="12"/>
        <w:ind w:firstLine="480"/>
        <w:rPr>
          <w:rFonts w:hint="eastAsia"/>
        </w:rPr>
      </w:pPr>
      <w:r>
        <w:rPr>
          <w:rFonts w:hint="eastAsia"/>
        </w:rPr>
        <w:t>服务地点：西南大学</w:t>
      </w:r>
    </w:p>
    <w:p w14:paraId="21432BDB">
      <w:pPr>
        <w:pStyle w:val="12"/>
        <w:ind w:firstLine="480"/>
      </w:pPr>
      <w:r>
        <w:t>服务清单：</w:t>
      </w:r>
    </w:p>
    <w:p w14:paraId="52E562FE">
      <w:pPr>
        <w:pStyle w:val="12"/>
        <w:ind w:firstLine="480"/>
      </w:pPr>
      <w:r>
        <w:t>1.</w:t>
      </w:r>
      <w:r>
        <w:rPr>
          <w:rFonts w:hint="eastAsia"/>
        </w:rPr>
        <w:t>组织制作培训资料；</w:t>
      </w:r>
    </w:p>
    <w:p w14:paraId="0C35E32B">
      <w:pPr>
        <w:pStyle w:val="12"/>
        <w:ind w:firstLine="480"/>
      </w:pPr>
      <w:r>
        <w:rPr>
          <w:rFonts w:hint="eastAsia"/>
        </w:rPr>
        <w:t>2.负责培训场地的租赁、布置以及修复；</w:t>
      </w:r>
    </w:p>
    <w:p w14:paraId="4DB94FB8">
      <w:pPr>
        <w:pStyle w:val="12"/>
        <w:ind w:firstLine="480"/>
      </w:pPr>
      <w:r>
        <w:rPr>
          <w:rFonts w:hint="eastAsia"/>
        </w:rPr>
        <w:t>3.负责聘用具有田径贰级裁判培训资格的讲师提供培训服务并支付劳务费用；</w:t>
      </w:r>
    </w:p>
    <w:p w14:paraId="0EAD999E">
      <w:pPr>
        <w:pStyle w:val="12"/>
        <w:ind w:firstLine="480"/>
      </w:pPr>
      <w:r>
        <w:rPr>
          <w:rFonts w:hint="eastAsia"/>
        </w:rPr>
        <w:t>4.协助组织相关考试；</w:t>
      </w:r>
    </w:p>
    <w:p w14:paraId="6BE525B7">
      <w:pPr>
        <w:pStyle w:val="12"/>
        <w:ind w:firstLine="480"/>
        <w:rPr>
          <w:rFonts w:hint="eastAsia"/>
        </w:rPr>
      </w:pPr>
      <w:r>
        <w:rPr>
          <w:rFonts w:hint="eastAsia"/>
        </w:rPr>
        <w:t>5</w:t>
      </w:r>
      <w:r>
        <w:t>.</w:t>
      </w:r>
      <w:r>
        <w:rPr>
          <w:rFonts w:hint="eastAsia"/>
        </w:rPr>
        <w:t>与本次服务培训有关的其他工作。</w:t>
      </w:r>
    </w:p>
    <w:p w14:paraId="45139439">
      <w:pPr>
        <w:pStyle w:val="12"/>
        <w:ind w:firstLine="480"/>
      </w:pPr>
      <w:r>
        <w:t>服务对象：</w:t>
      </w:r>
      <w:r>
        <w:rPr>
          <w:rFonts w:hint="eastAsia"/>
        </w:rPr>
        <w:t>本次报名参加</w:t>
      </w:r>
      <w:r>
        <w:t>田径贰级裁判员的学员</w:t>
      </w:r>
    </w:p>
    <w:p w14:paraId="0F4212A3">
      <w:pPr>
        <w:pStyle w:val="12"/>
        <w:ind w:firstLine="480"/>
      </w:pPr>
      <w:r>
        <w:rPr>
          <w:rFonts w:hint="eastAsia"/>
          <w:b/>
          <w:bCs/>
        </w:rPr>
        <w:t>三</w:t>
      </w:r>
      <w:r>
        <w:rPr>
          <w:b/>
          <w:bCs/>
        </w:rPr>
        <w:t>、</w:t>
      </w:r>
      <w:r>
        <w:rPr>
          <w:rFonts w:hint="eastAsia"/>
          <w:b/>
          <w:bCs/>
        </w:rPr>
        <w:t>投标</w:t>
      </w:r>
      <w:r>
        <w:rPr>
          <w:b/>
          <w:bCs/>
        </w:rPr>
        <w:t>单位的资格条件</w:t>
      </w:r>
    </w:p>
    <w:p w14:paraId="74D1B4E1">
      <w:pPr>
        <w:pStyle w:val="12"/>
        <w:ind w:firstLine="480"/>
      </w:pPr>
      <w:r>
        <w:t>（一）独立法人，具备独立承担民事责任的能力。</w:t>
      </w:r>
    </w:p>
    <w:p w14:paraId="2C150863">
      <w:pPr>
        <w:pStyle w:val="12"/>
        <w:ind w:firstLine="480"/>
      </w:pPr>
      <w:r>
        <w:t>（二）具有良好的信誉和健全的财务会计制度。</w:t>
      </w:r>
    </w:p>
    <w:p w14:paraId="3DEF7FFA">
      <w:pPr>
        <w:pStyle w:val="12"/>
        <w:ind w:firstLine="480"/>
      </w:pPr>
      <w:r>
        <w:t>（三）参加此项采购活动前三年内，在相关活动中没有重大违约、违法等不良记录。</w:t>
      </w:r>
    </w:p>
    <w:p w14:paraId="280D74A3">
      <w:pPr>
        <w:pStyle w:val="12"/>
        <w:ind w:firstLine="480"/>
      </w:pPr>
      <w:r>
        <w:t>（四）负责提供所有项目所需的</w:t>
      </w:r>
      <w:r>
        <w:rPr>
          <w:rFonts w:hint="eastAsia"/>
        </w:rPr>
        <w:t>设备</w:t>
      </w:r>
    </w:p>
    <w:p w14:paraId="27404A63">
      <w:pPr>
        <w:pStyle w:val="12"/>
        <w:ind w:firstLine="480"/>
      </w:pPr>
      <w:r>
        <w:rPr>
          <w:rFonts w:hint="eastAsia"/>
          <w:b/>
          <w:bCs/>
        </w:rPr>
        <w:t>四</w:t>
      </w:r>
      <w:r>
        <w:rPr>
          <w:b/>
          <w:bCs/>
        </w:rPr>
        <w:t>、应标文件格式及相关要求</w:t>
      </w:r>
    </w:p>
    <w:p w14:paraId="68728224">
      <w:pPr>
        <w:pStyle w:val="12"/>
        <w:ind w:firstLine="480"/>
      </w:pPr>
      <w:r>
        <w:t>应标文件包括：</w:t>
      </w:r>
    </w:p>
    <w:p w14:paraId="0BF7988A">
      <w:pPr>
        <w:pStyle w:val="12"/>
        <w:ind w:firstLine="480"/>
      </w:pPr>
      <w:r>
        <w:t>1.营业执照复印件。</w:t>
      </w:r>
    </w:p>
    <w:p w14:paraId="34A3AA78">
      <w:pPr>
        <w:pStyle w:val="12"/>
        <w:ind w:firstLine="480"/>
      </w:pPr>
      <w:r>
        <w:t>2.法人身份证正反面复印件。</w:t>
      </w:r>
    </w:p>
    <w:p w14:paraId="05CF8A40">
      <w:pPr>
        <w:pStyle w:val="12"/>
        <w:ind w:firstLine="480"/>
      </w:pPr>
      <w:r>
        <w:t>3.项目负责人身份证正反面复印件。</w:t>
      </w:r>
    </w:p>
    <w:p w14:paraId="05F765C3">
      <w:pPr>
        <w:pStyle w:val="12"/>
        <w:ind w:firstLine="480"/>
      </w:pPr>
      <w:r>
        <w:t>4.</w:t>
      </w:r>
      <w:r>
        <w:rPr>
          <w:rFonts w:hint="eastAsia"/>
        </w:rPr>
        <w:t>报价书。</w:t>
      </w:r>
    </w:p>
    <w:p w14:paraId="7F079944">
      <w:pPr>
        <w:pStyle w:val="12"/>
        <w:ind w:firstLine="480"/>
      </w:pPr>
      <w:r>
        <w:t>5.承诺书：</w:t>
      </w:r>
    </w:p>
    <w:p w14:paraId="07E4AB3D">
      <w:pPr>
        <w:pStyle w:val="12"/>
        <w:ind w:firstLine="480"/>
      </w:pPr>
      <w:r>
        <w:t>（</w:t>
      </w:r>
      <w:r>
        <w:rPr>
          <w:rFonts w:hint="eastAsia"/>
        </w:rPr>
        <w:t>1</w:t>
      </w:r>
      <w:r>
        <w:t>）近三年内在服务保障工作中无重大违约、违法等不良记录。</w:t>
      </w:r>
    </w:p>
    <w:p w14:paraId="6A89E6E6">
      <w:pPr>
        <w:pStyle w:val="12"/>
        <w:ind w:firstLine="480"/>
      </w:pPr>
      <w:r>
        <w:t>6.响应招标文件要求的其他证明资料。</w:t>
      </w:r>
    </w:p>
    <w:p w14:paraId="476BF80C">
      <w:pPr>
        <w:pStyle w:val="12"/>
        <w:ind w:firstLine="480"/>
      </w:pPr>
      <w:r>
        <w:t>应标文件为胶订文件，一式五份，其中一个正本四个副本，正本为原章，副本为复印件。需按照应标文件顺序装订文件。由于文件不完整、不清楚或存在其它失误，所导致的任何后果均由申报单位自行承担。</w:t>
      </w:r>
    </w:p>
    <w:p w14:paraId="39EE523B">
      <w:pPr>
        <w:pStyle w:val="12"/>
        <w:ind w:firstLine="480"/>
        <w:rPr>
          <w:b/>
          <w:bCs/>
        </w:rPr>
      </w:pPr>
      <w:r>
        <w:rPr>
          <w:rFonts w:hint="eastAsia"/>
          <w:b/>
          <w:bCs/>
        </w:rPr>
        <w:t>五、评标方法</w:t>
      </w:r>
    </w:p>
    <w:p w14:paraId="16502C0F">
      <w:pPr>
        <w:pStyle w:val="12"/>
        <w:ind w:firstLine="480"/>
        <w:rPr>
          <w:rFonts w:hint="eastAsia"/>
        </w:rPr>
      </w:pPr>
      <w:r>
        <w:rPr>
          <w:rFonts w:hint="eastAsia"/>
        </w:rPr>
        <w:t>（一）本项目采用综合评分法进行评标。</w:t>
      </w:r>
    </w:p>
    <w:p w14:paraId="1CB6FFA3">
      <w:pPr>
        <w:pStyle w:val="12"/>
        <w:ind w:firstLine="480"/>
        <w:rPr>
          <w:rFonts w:hint="eastAsia"/>
        </w:rPr>
      </w:pPr>
      <w:r>
        <w:rPr>
          <w:rFonts w:hint="eastAsia"/>
        </w:rPr>
        <w:t>综合评分法，是指投标文件满足招标文件全部实质性要求且按照评审因素的量化指标评审得分最高的投标人为中标候选人的评标方法。投标人总得分为价格、技术、商务等评定因素分别按照相应权重值计算分项得分后相加，满分为100分。</w:t>
      </w:r>
    </w:p>
    <w:p w14:paraId="3379CEEE">
      <w:pPr>
        <w:pStyle w:val="12"/>
        <w:ind w:firstLine="480"/>
      </w:pPr>
      <w:bookmarkStart w:id="0" w:name="_Hlk148216427"/>
      <w:r>
        <w:rPr>
          <w:rFonts w:hint="eastAsia"/>
        </w:rPr>
        <w:t>澄清有关问题。对投标文件中含义不明确、同类问题表述不一致或者有明显文字和计算错误的内容，评标委员会可要求投标人作出必要澄清、说明或者纠正，其澄清的内容不得超出投标文件的范围或者改变投标文件的实质性内容。澄清内容以线下书面形式作出。</w:t>
      </w:r>
      <w:bookmarkStart w:id="1" w:name="_Hlk148269077"/>
      <w:r>
        <w:rPr>
          <w:rFonts w:hint="eastAsia"/>
        </w:rPr>
        <w:t>投标人通过书面形式作出的澄清、说明或者纠正应当由法定代表人（或其授权代表）或自然人（投标人为自然人）签署或者加盖公章并将澄清等文件。由授权代表签署的，应当附法定代表人授权书。</w:t>
      </w:r>
      <w:bookmarkEnd w:id="1"/>
    </w:p>
    <w:bookmarkEnd w:id="0"/>
    <w:p w14:paraId="7A76A450">
      <w:pPr>
        <w:pStyle w:val="12"/>
        <w:ind w:firstLine="480"/>
        <w:rPr>
          <w:rFonts w:hint="eastAsia"/>
        </w:rPr>
      </w:pPr>
      <w:r>
        <w:rPr>
          <w:rFonts w:hint="eastAsia"/>
        </w:rPr>
        <w:t>（二）推荐中标候选人名单。</w:t>
      </w:r>
    </w:p>
    <w:p w14:paraId="348A8AF9">
      <w:pPr>
        <w:pStyle w:val="12"/>
        <w:ind w:firstLine="480"/>
        <w:rPr>
          <w:rFonts w:hint="eastAsia"/>
        </w:rPr>
      </w:pPr>
      <w:r>
        <w:rPr>
          <w:rFonts w:hint="eastAsia"/>
        </w:rPr>
        <w:t>按评审后得分由高到低的排列顺序推荐综合得分排名前三的投标人为本分包（项目）中标候选人，排名第一的为第一中标候选人。得分相同的，由采购人委托评标委员会按投标报价由低到高顺序排列；得分且投标报价相同的，按照项目技术（质量）需求的优劣顺序排列；以上都相同的，按项目商务需求的优劣顺序排列；以上所有都相同的，由采购人委托评标委员会采取随机抽取方式确定。技术部分得分为0分的投标人，将失去成为中标候选人的资格。</w:t>
      </w:r>
    </w:p>
    <w:p w14:paraId="1758E4E2">
      <w:pPr>
        <w:pStyle w:val="12"/>
        <w:ind w:firstLine="480"/>
        <w:rPr>
          <w:b/>
          <w:bCs/>
        </w:rPr>
      </w:pPr>
      <w:r>
        <w:rPr>
          <w:rFonts w:hint="eastAsia"/>
          <w:b/>
          <w:bCs/>
        </w:rPr>
        <w:t>六、评标标准</w:t>
      </w:r>
    </w:p>
    <w:p w14:paraId="13C3920D">
      <w:pPr>
        <w:snapToGrid w:val="0"/>
        <w:spacing w:line="4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综合评分法</w:t>
      </w:r>
      <w:r>
        <w:rPr>
          <w:rFonts w:hint="eastAsia" w:ascii="宋体" w:hAnsi="宋体" w:eastAsia="宋体" w:cs="宋体"/>
          <w:kern w:val="0"/>
          <w:sz w:val="24"/>
          <w:lang w:eastAsia="zh-CN"/>
        </w:rPr>
        <w:t>：</w:t>
      </w:r>
      <w:bookmarkStart w:id="2" w:name="_GoBack"/>
      <w:bookmarkEnd w:id="2"/>
    </w:p>
    <w:p w14:paraId="50C6AFF9">
      <w:pPr>
        <w:snapToGrid w:val="0"/>
        <w:spacing w:line="400" w:lineRule="exact"/>
        <w:ind w:firstLine="465"/>
        <w:rPr>
          <w:rFonts w:ascii="宋体" w:hAnsi="宋体" w:eastAsia="宋体" w:cs="宋体"/>
          <w:kern w:val="0"/>
          <w:sz w:val="24"/>
        </w:rPr>
      </w:pPr>
      <w:r>
        <w:rPr>
          <w:rFonts w:hint="eastAsia" w:ascii="宋体" w:hAnsi="宋体" w:eastAsia="宋体" w:cs="宋体"/>
          <w:kern w:val="0"/>
          <w:sz w:val="24"/>
        </w:rPr>
        <w:t>（一）评审因素</w:t>
      </w:r>
    </w:p>
    <w:tbl>
      <w:tblPr>
        <w:tblStyle w:val="14"/>
        <w:tblW w:w="973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134"/>
        <w:gridCol w:w="4678"/>
        <w:gridCol w:w="2115"/>
      </w:tblGrid>
      <w:tr w14:paraId="3BA4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34" w:type="dxa"/>
            <w:vAlign w:val="center"/>
          </w:tcPr>
          <w:p w14:paraId="7159C696">
            <w:pPr>
              <w:spacing w:line="240" w:lineRule="atLeast"/>
              <w:ind w:firstLine="28"/>
              <w:jc w:val="center"/>
              <w:rPr>
                <w:rFonts w:ascii="宋体" w:hAnsi="宋体" w:eastAsia="宋体"/>
                <w:b/>
                <w:sz w:val="21"/>
                <w:szCs w:val="21"/>
              </w:rPr>
            </w:pPr>
            <w:r>
              <w:rPr>
                <w:rFonts w:ascii="宋体" w:hAnsi="宋体" w:eastAsia="宋体"/>
                <w:b/>
                <w:sz w:val="21"/>
                <w:szCs w:val="21"/>
              </w:rPr>
              <w:t>序号</w:t>
            </w:r>
          </w:p>
        </w:tc>
        <w:tc>
          <w:tcPr>
            <w:tcW w:w="1275" w:type="dxa"/>
            <w:vAlign w:val="center"/>
          </w:tcPr>
          <w:p w14:paraId="1C244E3F">
            <w:pPr>
              <w:spacing w:line="240" w:lineRule="atLeast"/>
              <w:ind w:firstLine="28"/>
              <w:jc w:val="center"/>
              <w:rPr>
                <w:rFonts w:ascii="宋体" w:hAnsi="宋体" w:eastAsia="宋体"/>
                <w:b/>
                <w:sz w:val="21"/>
                <w:szCs w:val="21"/>
              </w:rPr>
            </w:pPr>
            <w:r>
              <w:rPr>
                <w:rFonts w:ascii="宋体" w:hAnsi="宋体" w:eastAsia="宋体"/>
                <w:b/>
                <w:sz w:val="21"/>
                <w:szCs w:val="21"/>
              </w:rPr>
              <w:t>评分因素及权值</w:t>
            </w:r>
          </w:p>
        </w:tc>
        <w:tc>
          <w:tcPr>
            <w:tcW w:w="1134" w:type="dxa"/>
            <w:vAlign w:val="center"/>
          </w:tcPr>
          <w:p w14:paraId="37DA93FD">
            <w:pPr>
              <w:spacing w:line="240" w:lineRule="atLeast"/>
              <w:ind w:firstLine="28"/>
              <w:jc w:val="center"/>
              <w:rPr>
                <w:rFonts w:ascii="宋体" w:hAnsi="宋体" w:eastAsia="宋体"/>
                <w:b/>
                <w:sz w:val="21"/>
                <w:szCs w:val="21"/>
              </w:rPr>
            </w:pPr>
            <w:r>
              <w:rPr>
                <w:rFonts w:ascii="宋体" w:hAnsi="宋体" w:eastAsia="宋体"/>
                <w:b/>
                <w:sz w:val="21"/>
                <w:szCs w:val="21"/>
              </w:rPr>
              <w:t>分值</w:t>
            </w:r>
          </w:p>
        </w:tc>
        <w:tc>
          <w:tcPr>
            <w:tcW w:w="4678" w:type="dxa"/>
            <w:vAlign w:val="center"/>
          </w:tcPr>
          <w:p w14:paraId="576C273A">
            <w:pPr>
              <w:spacing w:line="240" w:lineRule="atLeast"/>
              <w:ind w:firstLine="28"/>
              <w:jc w:val="center"/>
              <w:rPr>
                <w:rFonts w:ascii="宋体" w:hAnsi="宋体" w:eastAsia="宋体"/>
                <w:b/>
                <w:sz w:val="21"/>
                <w:szCs w:val="21"/>
              </w:rPr>
            </w:pPr>
            <w:r>
              <w:rPr>
                <w:rFonts w:ascii="宋体" w:hAnsi="宋体" w:eastAsia="宋体"/>
                <w:b/>
                <w:sz w:val="21"/>
                <w:szCs w:val="21"/>
              </w:rPr>
              <w:t>评分标准</w:t>
            </w:r>
          </w:p>
        </w:tc>
        <w:tc>
          <w:tcPr>
            <w:tcW w:w="2115" w:type="dxa"/>
            <w:vAlign w:val="center"/>
          </w:tcPr>
          <w:p w14:paraId="6B29BF7F">
            <w:pPr>
              <w:pStyle w:val="34"/>
              <w:spacing w:line="240" w:lineRule="atLeast"/>
              <w:rPr>
                <w:rFonts w:ascii="宋体" w:hAnsi="宋体" w:eastAsia="宋体"/>
                <w:sz w:val="21"/>
                <w:szCs w:val="21"/>
              </w:rPr>
            </w:pPr>
            <w:r>
              <w:rPr>
                <w:rFonts w:ascii="宋体" w:hAnsi="宋体" w:eastAsia="宋体"/>
                <w:sz w:val="21"/>
                <w:szCs w:val="21"/>
              </w:rPr>
              <w:t>说明</w:t>
            </w:r>
          </w:p>
        </w:tc>
      </w:tr>
      <w:tr w14:paraId="5427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34" w:type="dxa"/>
            <w:vAlign w:val="center"/>
          </w:tcPr>
          <w:p w14:paraId="2DED57D2">
            <w:pPr>
              <w:spacing w:line="240" w:lineRule="atLeast"/>
              <w:ind w:firstLine="28"/>
              <w:jc w:val="center"/>
              <w:rPr>
                <w:rFonts w:ascii="宋体" w:hAnsi="宋体" w:eastAsia="宋体"/>
                <w:sz w:val="21"/>
                <w:szCs w:val="21"/>
              </w:rPr>
            </w:pPr>
            <w:r>
              <w:rPr>
                <w:rFonts w:ascii="宋体" w:hAnsi="宋体" w:eastAsia="宋体"/>
                <w:sz w:val="21"/>
                <w:szCs w:val="21"/>
              </w:rPr>
              <w:t>1</w:t>
            </w:r>
          </w:p>
        </w:tc>
        <w:tc>
          <w:tcPr>
            <w:tcW w:w="1275" w:type="dxa"/>
            <w:vAlign w:val="center"/>
          </w:tcPr>
          <w:p w14:paraId="054EEB1C">
            <w:pPr>
              <w:ind w:firstLine="28"/>
              <w:jc w:val="center"/>
              <w:rPr>
                <w:rFonts w:ascii="宋体" w:hAnsi="宋体" w:eastAsia="宋体"/>
                <w:szCs w:val="21"/>
              </w:rPr>
            </w:pPr>
            <w:r>
              <w:rPr>
                <w:rFonts w:hint="eastAsia" w:ascii="宋体" w:hAnsi="宋体" w:eastAsia="宋体"/>
                <w:sz w:val="21"/>
                <w:szCs w:val="21"/>
              </w:rPr>
              <w:t>投标报价</w:t>
            </w:r>
          </w:p>
          <w:p w14:paraId="3F9E4027">
            <w:pPr>
              <w:spacing w:line="240" w:lineRule="atLeast"/>
              <w:ind w:firstLine="28"/>
              <w:jc w:val="center"/>
              <w:rPr>
                <w:rFonts w:ascii="宋体" w:hAnsi="宋体" w:eastAsia="宋体"/>
                <w:sz w:val="21"/>
                <w:szCs w:val="21"/>
              </w:rPr>
            </w:pPr>
            <w:r>
              <w:rPr>
                <w:rFonts w:hint="eastAsia" w:ascii="宋体" w:hAnsi="宋体" w:eastAsia="宋体"/>
                <w:sz w:val="21"/>
                <w:szCs w:val="21"/>
              </w:rPr>
              <w:t>（50%）</w:t>
            </w:r>
          </w:p>
        </w:tc>
        <w:tc>
          <w:tcPr>
            <w:tcW w:w="1134" w:type="dxa"/>
            <w:vAlign w:val="center"/>
          </w:tcPr>
          <w:p w14:paraId="350FEDBD">
            <w:pPr>
              <w:spacing w:line="240" w:lineRule="atLeast"/>
              <w:ind w:firstLine="28"/>
              <w:jc w:val="center"/>
              <w:rPr>
                <w:rFonts w:ascii="宋体" w:hAnsi="宋体" w:eastAsia="宋体"/>
                <w:sz w:val="21"/>
                <w:szCs w:val="21"/>
              </w:rPr>
            </w:pPr>
            <w:r>
              <w:rPr>
                <w:rFonts w:hint="eastAsia" w:ascii="宋体" w:hAnsi="宋体" w:eastAsia="宋体"/>
                <w:sz w:val="21"/>
                <w:szCs w:val="21"/>
              </w:rPr>
              <w:t>50</w:t>
            </w:r>
          </w:p>
        </w:tc>
        <w:tc>
          <w:tcPr>
            <w:tcW w:w="4678" w:type="dxa"/>
            <w:vAlign w:val="center"/>
          </w:tcPr>
          <w:p w14:paraId="3F202FC5">
            <w:pPr>
              <w:rPr>
                <w:rFonts w:ascii="宋体" w:hAnsi="宋体" w:eastAsia="宋体"/>
                <w:szCs w:val="21"/>
              </w:rPr>
            </w:pPr>
            <w:r>
              <w:rPr>
                <w:rFonts w:hint="eastAsia" w:ascii="宋体" w:hAnsi="宋体" w:eastAsia="宋体"/>
                <w:sz w:val="21"/>
                <w:szCs w:val="21"/>
              </w:rPr>
              <w:t>有效的投标报价中的最低价为评标基准价，按照下列公式计算每个投标人的投标价格得分。</w:t>
            </w:r>
          </w:p>
          <w:p w14:paraId="50D576AD">
            <w:pPr>
              <w:spacing w:line="240" w:lineRule="atLeast"/>
              <w:rPr>
                <w:rFonts w:ascii="宋体" w:hAnsi="宋体" w:eastAsia="宋体"/>
                <w:sz w:val="21"/>
                <w:szCs w:val="21"/>
              </w:rPr>
            </w:pPr>
            <w:r>
              <w:rPr>
                <w:rFonts w:hint="eastAsia" w:ascii="宋体" w:hAnsi="宋体" w:eastAsia="宋体"/>
                <w:sz w:val="21"/>
                <w:szCs w:val="21"/>
              </w:rPr>
              <w:t>投标报价得分＝（评标基准价/投标报价）×价格权重×100。</w:t>
            </w:r>
          </w:p>
        </w:tc>
        <w:tc>
          <w:tcPr>
            <w:tcW w:w="2115" w:type="dxa"/>
            <w:vAlign w:val="center"/>
          </w:tcPr>
          <w:p w14:paraId="2836AA15">
            <w:pPr>
              <w:spacing w:line="240" w:lineRule="atLeast"/>
              <w:ind w:left="-38"/>
              <w:rPr>
                <w:rFonts w:hint="eastAsia" w:ascii="宋体" w:hAnsi="宋体" w:eastAsia="宋体"/>
                <w:sz w:val="21"/>
                <w:szCs w:val="21"/>
              </w:rPr>
            </w:pPr>
            <w:r>
              <w:rPr>
                <w:rFonts w:hint="eastAsia" w:ascii="宋体" w:hAnsi="宋体" w:eastAsia="宋体"/>
                <w:sz w:val="21"/>
                <w:szCs w:val="21"/>
              </w:rPr>
              <w:t>本次报价按照单价方式进行报价，即投标单位报价为参与学员培训考试费用单价为本次投标价格。该单价包含了与本项目相关的所有费用，包括但不限于场地租赁费用、设备使用费用、劳动费用、资料制作成本、税费等全部费用。</w:t>
            </w:r>
          </w:p>
        </w:tc>
      </w:tr>
      <w:tr w14:paraId="6E36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534" w:type="dxa"/>
            <w:vAlign w:val="center"/>
          </w:tcPr>
          <w:p w14:paraId="136F9331">
            <w:pPr>
              <w:spacing w:line="240" w:lineRule="atLeast"/>
              <w:ind w:firstLine="28"/>
              <w:jc w:val="center"/>
              <w:rPr>
                <w:rFonts w:ascii="宋体" w:hAnsi="宋体" w:eastAsia="宋体"/>
                <w:sz w:val="21"/>
                <w:szCs w:val="21"/>
              </w:rPr>
            </w:pPr>
            <w:r>
              <w:rPr>
                <w:rFonts w:ascii="宋体" w:hAnsi="宋体" w:eastAsia="宋体"/>
                <w:sz w:val="21"/>
                <w:szCs w:val="21"/>
              </w:rPr>
              <w:t>2</w:t>
            </w:r>
          </w:p>
        </w:tc>
        <w:tc>
          <w:tcPr>
            <w:tcW w:w="1275" w:type="dxa"/>
            <w:vAlign w:val="center"/>
          </w:tcPr>
          <w:p w14:paraId="3A6E81A3">
            <w:pPr>
              <w:spacing w:line="240" w:lineRule="atLeast"/>
              <w:ind w:firstLine="28"/>
              <w:jc w:val="center"/>
              <w:rPr>
                <w:rFonts w:ascii="宋体" w:hAnsi="宋体" w:eastAsia="宋体"/>
                <w:sz w:val="21"/>
                <w:szCs w:val="21"/>
              </w:rPr>
            </w:pPr>
            <w:r>
              <w:rPr>
                <w:rFonts w:hint="eastAsia" w:ascii="宋体" w:hAnsi="宋体" w:eastAsia="宋体"/>
                <w:sz w:val="21"/>
                <w:szCs w:val="21"/>
              </w:rPr>
              <w:t>技术部分</w:t>
            </w:r>
          </w:p>
          <w:p w14:paraId="3C7024F4">
            <w:pPr>
              <w:spacing w:line="240" w:lineRule="atLeast"/>
              <w:jc w:val="center"/>
              <w:rPr>
                <w:rFonts w:ascii="宋体" w:hAnsi="宋体" w:eastAsia="宋体"/>
                <w:sz w:val="21"/>
                <w:szCs w:val="21"/>
              </w:rPr>
            </w:pPr>
            <w:r>
              <w:rPr>
                <w:rFonts w:hint="eastAsia" w:ascii="宋体" w:hAnsi="宋体" w:eastAsia="宋体"/>
                <w:sz w:val="21"/>
                <w:szCs w:val="21"/>
              </w:rPr>
              <w:t>（40</w:t>
            </w:r>
            <w:r>
              <w:rPr>
                <w:rFonts w:ascii="宋体" w:hAnsi="宋体" w:eastAsia="宋体"/>
                <w:sz w:val="21"/>
                <w:szCs w:val="21"/>
              </w:rPr>
              <w:t>%</w:t>
            </w:r>
            <w:r>
              <w:rPr>
                <w:rFonts w:hint="eastAsia" w:ascii="宋体" w:hAnsi="宋体" w:eastAsia="宋体"/>
                <w:sz w:val="21"/>
                <w:szCs w:val="21"/>
              </w:rPr>
              <w:t>）</w:t>
            </w:r>
          </w:p>
        </w:tc>
        <w:tc>
          <w:tcPr>
            <w:tcW w:w="1134" w:type="dxa"/>
            <w:vAlign w:val="center"/>
          </w:tcPr>
          <w:p w14:paraId="35467D35">
            <w:pPr>
              <w:spacing w:line="240" w:lineRule="atLeast"/>
              <w:ind w:firstLine="28"/>
              <w:jc w:val="center"/>
              <w:rPr>
                <w:rFonts w:ascii="宋体" w:hAnsi="宋体" w:eastAsia="宋体"/>
                <w:sz w:val="21"/>
                <w:szCs w:val="21"/>
              </w:rPr>
            </w:pPr>
            <w:r>
              <w:rPr>
                <w:rFonts w:hint="eastAsia" w:ascii="宋体" w:hAnsi="宋体" w:eastAsia="宋体"/>
                <w:sz w:val="21"/>
                <w:szCs w:val="21"/>
              </w:rPr>
              <w:t>组织实施体方案（40分）</w:t>
            </w:r>
          </w:p>
        </w:tc>
        <w:tc>
          <w:tcPr>
            <w:tcW w:w="4678" w:type="dxa"/>
            <w:vAlign w:val="center"/>
          </w:tcPr>
          <w:p w14:paraId="6C3E288D">
            <w:pPr>
              <w:spacing w:line="240" w:lineRule="exact"/>
              <w:rPr>
                <w:rFonts w:hint="eastAsia" w:ascii="宋体" w:hAnsi="宋体" w:eastAsia="宋体" w:cs="宋体"/>
                <w:sz w:val="21"/>
                <w:szCs w:val="21"/>
              </w:rPr>
            </w:pPr>
            <w:r>
              <w:rPr>
                <w:rFonts w:hint="eastAsia" w:ascii="宋体" w:hAnsi="宋体" w:eastAsia="宋体" w:cs="宋体"/>
                <w:sz w:val="21"/>
                <w:szCs w:val="21"/>
              </w:rPr>
              <w:t>1.组织实施方案（10分）</w:t>
            </w:r>
          </w:p>
          <w:p w14:paraId="3EAD788E">
            <w:pPr>
              <w:spacing w:line="240" w:lineRule="exact"/>
              <w:rPr>
                <w:rFonts w:ascii="宋体" w:hAnsi="宋体" w:eastAsia="宋体"/>
                <w:sz w:val="21"/>
                <w:szCs w:val="21"/>
              </w:rPr>
            </w:pPr>
            <w:r>
              <w:rPr>
                <w:rFonts w:hint="eastAsia" w:ascii="宋体" w:hAnsi="宋体" w:eastAsia="宋体" w:cs="宋体"/>
                <w:sz w:val="21"/>
                <w:szCs w:val="21"/>
              </w:rPr>
              <w:t>结合本项目情况，提出培训服务实施方案，包括组织机构、工作任务拆解、日程安排等。</w:t>
            </w:r>
            <w:r>
              <w:rPr>
                <w:rFonts w:hint="eastAsia" w:ascii="宋体" w:hAnsi="宋体" w:eastAsia="宋体"/>
                <w:sz w:val="21"/>
                <w:szCs w:val="21"/>
              </w:rPr>
              <w:t>内容全面、无漏项、不存在瑕疵，得40分；存在1处瑕疵，得30分；存在2处瑕疵，得20分；存在3处及以上瑕疵或未提供，得0分。</w:t>
            </w:r>
          </w:p>
        </w:tc>
        <w:tc>
          <w:tcPr>
            <w:tcW w:w="2115" w:type="dxa"/>
            <w:vAlign w:val="center"/>
          </w:tcPr>
          <w:p w14:paraId="1FF6C0D8">
            <w:pPr>
              <w:spacing w:line="240" w:lineRule="atLeast"/>
              <w:rPr>
                <w:rFonts w:ascii="宋体" w:hAnsi="宋体" w:eastAsia="宋体"/>
                <w:sz w:val="21"/>
                <w:szCs w:val="21"/>
              </w:rPr>
            </w:pPr>
            <w:r>
              <w:rPr>
                <w:rFonts w:hint="eastAsia" w:ascii="宋体" w:hAnsi="宋体" w:eastAsia="宋体"/>
                <w:sz w:val="21"/>
                <w:szCs w:val="21"/>
              </w:rPr>
              <w:t>提供方案，格式自拟。</w:t>
            </w:r>
          </w:p>
          <w:p w14:paraId="5850EF77">
            <w:pPr>
              <w:spacing w:line="240" w:lineRule="atLeast"/>
              <w:rPr>
                <w:rFonts w:ascii="宋体" w:hAnsi="宋体" w:eastAsia="宋体"/>
                <w:sz w:val="21"/>
                <w:szCs w:val="21"/>
              </w:rPr>
            </w:pPr>
            <w:r>
              <w:rPr>
                <w:rFonts w:hint="eastAsia" w:ascii="宋体" w:hAnsi="宋体" w:eastAsia="宋体"/>
                <w:sz w:val="21"/>
                <w:szCs w:val="21"/>
              </w:rPr>
              <w:t>注：</w:t>
            </w:r>
          </w:p>
          <w:p w14:paraId="33FF8FA2">
            <w:pPr>
              <w:spacing w:line="240" w:lineRule="atLeast"/>
              <w:ind w:left="-38"/>
              <w:rPr>
                <w:rFonts w:ascii="宋体" w:hAnsi="宋体" w:eastAsia="宋体"/>
                <w:sz w:val="21"/>
                <w:szCs w:val="21"/>
              </w:rPr>
            </w:pPr>
            <w:r>
              <w:rPr>
                <w:rFonts w:hint="eastAsia" w:ascii="宋体" w:hAnsi="宋体" w:eastAsia="宋体"/>
                <w:sz w:val="21"/>
                <w:szCs w:val="21"/>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tc>
      </w:tr>
      <w:tr w14:paraId="1DD7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vAlign w:val="center"/>
          </w:tcPr>
          <w:p w14:paraId="77BC2D89">
            <w:pPr>
              <w:spacing w:line="240" w:lineRule="atLeast"/>
              <w:ind w:firstLine="28"/>
              <w:jc w:val="center"/>
              <w:rPr>
                <w:rFonts w:hint="eastAsia" w:ascii="宋体" w:hAnsi="宋体" w:eastAsia="宋体"/>
                <w:sz w:val="21"/>
                <w:szCs w:val="21"/>
              </w:rPr>
            </w:pPr>
            <w:r>
              <w:rPr>
                <w:rFonts w:hint="eastAsia" w:ascii="宋体" w:hAnsi="宋体" w:eastAsia="宋体"/>
                <w:sz w:val="21"/>
                <w:szCs w:val="21"/>
              </w:rPr>
              <w:t>3</w:t>
            </w:r>
          </w:p>
        </w:tc>
        <w:tc>
          <w:tcPr>
            <w:tcW w:w="1275" w:type="dxa"/>
            <w:vAlign w:val="center"/>
          </w:tcPr>
          <w:p w14:paraId="3740C2B9">
            <w:pPr>
              <w:spacing w:line="240" w:lineRule="atLeast"/>
              <w:ind w:firstLine="28"/>
              <w:jc w:val="center"/>
              <w:rPr>
                <w:rFonts w:ascii="宋体" w:hAnsi="宋体" w:eastAsia="宋体"/>
                <w:sz w:val="21"/>
                <w:szCs w:val="21"/>
              </w:rPr>
            </w:pPr>
            <w:r>
              <w:rPr>
                <w:rFonts w:hint="eastAsia" w:ascii="宋体" w:hAnsi="宋体" w:eastAsia="宋体"/>
                <w:sz w:val="21"/>
                <w:szCs w:val="21"/>
              </w:rPr>
              <w:t>商务部分</w:t>
            </w:r>
          </w:p>
          <w:p w14:paraId="092BE41F">
            <w:pPr>
              <w:spacing w:line="240" w:lineRule="atLeast"/>
              <w:ind w:firstLine="28"/>
              <w:jc w:val="center"/>
              <w:rPr>
                <w:rFonts w:hint="eastAsia" w:ascii="宋体" w:hAnsi="宋体" w:eastAsia="宋体"/>
                <w:sz w:val="21"/>
                <w:szCs w:val="21"/>
              </w:rPr>
            </w:pPr>
            <w:r>
              <w:rPr>
                <w:rFonts w:hint="eastAsia" w:ascii="宋体" w:hAnsi="宋体" w:eastAsia="宋体"/>
                <w:sz w:val="21"/>
                <w:szCs w:val="21"/>
              </w:rPr>
              <w:t>（10%）</w:t>
            </w:r>
          </w:p>
        </w:tc>
        <w:tc>
          <w:tcPr>
            <w:tcW w:w="1134" w:type="dxa"/>
            <w:vAlign w:val="center"/>
          </w:tcPr>
          <w:p w14:paraId="73DB3CC5">
            <w:pPr>
              <w:spacing w:line="240" w:lineRule="atLeast"/>
              <w:ind w:firstLine="210" w:firstLineChars="100"/>
              <w:rPr>
                <w:rFonts w:ascii="宋体" w:hAnsi="宋体" w:eastAsia="宋体"/>
                <w:sz w:val="21"/>
                <w:szCs w:val="21"/>
              </w:rPr>
            </w:pPr>
            <w:r>
              <w:rPr>
                <w:rFonts w:hint="eastAsia" w:ascii="宋体" w:hAnsi="宋体" w:eastAsia="宋体"/>
                <w:sz w:val="21"/>
                <w:szCs w:val="21"/>
              </w:rPr>
              <w:t>业绩</w:t>
            </w:r>
          </w:p>
          <w:p w14:paraId="3CB744A8">
            <w:pPr>
              <w:spacing w:line="240" w:lineRule="atLeast"/>
              <w:rPr>
                <w:rFonts w:hint="eastAsia" w:ascii="宋体" w:hAnsi="宋体" w:eastAsia="宋体"/>
                <w:sz w:val="21"/>
                <w:szCs w:val="21"/>
              </w:rPr>
            </w:pPr>
            <w:r>
              <w:rPr>
                <w:rFonts w:hint="eastAsia" w:ascii="宋体" w:hAnsi="宋体" w:eastAsia="宋体"/>
                <w:sz w:val="21"/>
                <w:szCs w:val="21"/>
              </w:rPr>
              <w:t>（10分）</w:t>
            </w:r>
          </w:p>
        </w:tc>
        <w:tc>
          <w:tcPr>
            <w:tcW w:w="4678" w:type="dxa"/>
            <w:vAlign w:val="center"/>
          </w:tcPr>
          <w:p w14:paraId="5DD1BADE">
            <w:pPr>
              <w:spacing w:line="240" w:lineRule="atLeast"/>
              <w:rPr>
                <w:rFonts w:ascii="宋体" w:hAnsi="宋体" w:eastAsia="宋体"/>
                <w:sz w:val="21"/>
                <w:szCs w:val="21"/>
              </w:rPr>
            </w:pPr>
            <w:r>
              <w:rPr>
                <w:rFonts w:hint="eastAsia" w:ascii="宋体" w:hAnsi="宋体" w:eastAsia="宋体"/>
                <w:sz w:val="21"/>
                <w:szCs w:val="21"/>
              </w:rPr>
              <w:t>自2019年1月1日至投标文件递交截止时间，投标人具有运营、执行或承办田径贰级裁判培训考试服务经验的，每具有一项得5分，满分10分，没有则不得分。</w:t>
            </w:r>
          </w:p>
        </w:tc>
        <w:tc>
          <w:tcPr>
            <w:tcW w:w="2115" w:type="dxa"/>
            <w:vAlign w:val="center"/>
          </w:tcPr>
          <w:p w14:paraId="51FACEAF">
            <w:pPr>
              <w:spacing w:line="240" w:lineRule="atLeast"/>
              <w:ind w:left="-38"/>
              <w:rPr>
                <w:rFonts w:ascii="宋体" w:hAnsi="宋体" w:eastAsia="宋体"/>
                <w:sz w:val="21"/>
                <w:szCs w:val="21"/>
              </w:rPr>
            </w:pPr>
            <w:r>
              <w:rPr>
                <w:rFonts w:hint="eastAsia" w:ascii="宋体" w:hAnsi="宋体" w:eastAsia="宋体"/>
                <w:sz w:val="21"/>
                <w:szCs w:val="21"/>
              </w:rPr>
              <w:t>提供合同复印件或相关证明材料，加盖投标人公章。</w:t>
            </w:r>
          </w:p>
        </w:tc>
      </w:tr>
    </w:tbl>
    <w:p w14:paraId="7F1119F4">
      <w:pPr>
        <w:spacing w:line="240" w:lineRule="atLeast"/>
        <w:rPr>
          <w:rFonts w:hint="eastAsia" w:ascii="宋体" w:hAnsi="宋体" w:eastAsia="宋体"/>
          <w:sz w:val="21"/>
          <w:szCs w:val="21"/>
        </w:rPr>
      </w:pPr>
      <w:r>
        <w:rPr>
          <w:rFonts w:hint="eastAsia" w:ascii="宋体" w:hAnsi="宋体" w:eastAsia="宋体"/>
          <w:sz w:val="21"/>
          <w:szCs w:val="21"/>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187CC3">
      <w:pPr>
        <w:pStyle w:val="12"/>
        <w:ind w:firstLine="480"/>
        <w:rPr>
          <w:rFonts w:hint="eastAsia"/>
        </w:rPr>
      </w:pPr>
    </w:p>
    <w:p w14:paraId="1417ACD1">
      <w:pPr>
        <w:pStyle w:val="12"/>
        <w:ind w:firstLine="480"/>
      </w:pPr>
      <w:r>
        <w:rPr>
          <w:b/>
          <w:bCs/>
        </w:rPr>
        <w:t>七、评审、公示和签订协议</w:t>
      </w:r>
    </w:p>
    <w:p w14:paraId="6B4D9A33">
      <w:pPr>
        <w:pStyle w:val="12"/>
        <w:ind w:firstLine="480"/>
      </w:pPr>
      <w:r>
        <w:t>（一）</w:t>
      </w:r>
      <w:r>
        <w:rPr>
          <w:rFonts w:hint="eastAsia"/>
        </w:rPr>
        <w:t>重庆市田径协会组织组织成立评选小组</w:t>
      </w:r>
      <w:r>
        <w:t>对服务申报进行评审；</w:t>
      </w:r>
    </w:p>
    <w:p w14:paraId="1B219349">
      <w:pPr>
        <w:pStyle w:val="12"/>
        <w:ind w:firstLine="480"/>
      </w:pPr>
      <w:r>
        <w:t>（二）对拟承接单位进行公示；</w:t>
      </w:r>
    </w:p>
    <w:p w14:paraId="721C1BA0">
      <w:pPr>
        <w:pStyle w:val="12"/>
        <w:ind w:firstLine="480"/>
      </w:pPr>
      <w:r>
        <w:t>（三）公示期满无异议，签订协议，如有异议处理后签订协议。</w:t>
      </w:r>
    </w:p>
    <w:p w14:paraId="3B5CCD99">
      <w:pPr>
        <w:pStyle w:val="12"/>
        <w:ind w:firstLine="480"/>
      </w:pPr>
      <w:r>
        <w:rPr>
          <w:b/>
          <w:bCs/>
        </w:rPr>
        <w:t>八、应标文件的递交</w:t>
      </w:r>
    </w:p>
    <w:p w14:paraId="34757067">
      <w:pPr>
        <w:pStyle w:val="12"/>
        <w:spacing w:line="360" w:lineRule="auto"/>
        <w:ind w:firstLine="480"/>
      </w:pPr>
      <w:r>
        <w:t>可将密封好的纸质文件</w:t>
      </w:r>
      <w:r>
        <w:rPr>
          <w:rFonts w:hint="eastAsia"/>
          <w:lang w:val="en-US" w:eastAsia="zh-CN"/>
        </w:rPr>
        <w:t>在2026年5月15日前邮寄</w:t>
      </w:r>
      <w:r>
        <w:t>至</w:t>
      </w:r>
      <w:r>
        <w:rPr>
          <w:rFonts w:hint="eastAsia"/>
          <w:lang w:eastAsia="zh-CN"/>
        </w:rPr>
        <w:t>：</w:t>
      </w:r>
      <w:r>
        <w:rPr>
          <w:rFonts w:hint="eastAsia"/>
          <w:lang w:val="en-US" w:eastAsia="zh-CN"/>
        </w:rPr>
        <w:t>重庆市南岸区崇文路2号</w:t>
      </w:r>
      <w:r>
        <w:t>，</w:t>
      </w:r>
      <w:r>
        <w:rPr>
          <w:rFonts w:hint="eastAsia"/>
          <w:lang w:val="en-US" w:eastAsia="zh-CN"/>
        </w:rPr>
        <w:t>将电子档发送至下列邮箱中：</w:t>
      </w:r>
    </w:p>
    <w:p w14:paraId="1865F8E3">
      <w:pPr>
        <w:pStyle w:val="12"/>
        <w:ind w:firstLine="480"/>
      </w:pPr>
      <w:r>
        <w:rPr>
          <w:rFonts w:hint="eastAsia"/>
        </w:rPr>
        <w:t xml:space="preserve">联系人：贺波  联系电话：15086628813 </w:t>
      </w:r>
    </w:p>
    <w:p w14:paraId="1B09CB4C">
      <w:pPr>
        <w:pStyle w:val="12"/>
        <w:ind w:firstLine="480"/>
      </w:pPr>
      <w:r>
        <w:rPr>
          <w:rFonts w:hint="eastAsia"/>
        </w:rPr>
        <w:t>电子邮箱：</w:t>
      </w:r>
      <w:r>
        <w:t>1922487168@qq.com</w:t>
      </w:r>
    </w:p>
    <w:p w14:paraId="133B5906">
      <w:pPr>
        <w:pStyle w:val="12"/>
        <w:ind w:firstLine="480"/>
        <w:jc w:val="right"/>
        <w:rPr>
          <w:rFonts w:hint="eastAsia"/>
        </w:rPr>
      </w:pPr>
    </w:p>
    <w:p w14:paraId="191B6BA4">
      <w:pPr>
        <w:pStyle w:val="12"/>
        <w:ind w:firstLine="480"/>
        <w:jc w:val="right"/>
      </w:pPr>
      <w:r>
        <w:rPr>
          <w:rFonts w:hint="eastAsia"/>
        </w:rPr>
        <w:t>重庆市田径协会</w:t>
      </w:r>
    </w:p>
    <w:p w14:paraId="4BFD4393">
      <w:pPr>
        <w:pStyle w:val="12"/>
        <w:ind w:firstLine="480"/>
        <w:jc w:val="right"/>
      </w:pPr>
      <w:r>
        <w:t>2026年5月1</w:t>
      </w:r>
      <w:r>
        <w:rPr>
          <w:rFonts w:hint="eastAsia"/>
          <w:lang w:val="en-US" w:eastAsia="zh-CN"/>
        </w:rPr>
        <w:t>2</w:t>
      </w:r>
      <w:r>
        <w:t>日</w:t>
      </w:r>
    </w:p>
    <w:p w14:paraId="18E7609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0E"/>
    <w:rsid w:val="000919BD"/>
    <w:rsid w:val="00152232"/>
    <w:rsid w:val="002B65EB"/>
    <w:rsid w:val="007341EB"/>
    <w:rsid w:val="008B11BE"/>
    <w:rsid w:val="00FB7C0E"/>
    <w:rsid w:val="15CF05E4"/>
    <w:rsid w:val="1CFA3E04"/>
    <w:rsid w:val="33927DE1"/>
    <w:rsid w:val="3C5F04D1"/>
    <w:rsid w:val="4119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paragraph" w:customStyle="1" w:styleId="34">
    <w:name w:val="图例"/>
    <w:basedOn w:val="1"/>
    <w:qFormat/>
    <w:uiPriority w:val="0"/>
    <w:pPr>
      <w:spacing w:before="120" w:after="120" w:line="360" w:lineRule="auto"/>
      <w:jc w:val="center"/>
    </w:pPr>
    <w:rPr>
      <w:rFonts w:ascii="Times New Roman" w:hAnsi="Times New Roman" w:eastAsia="仿宋_GB2312" w:cs="Times New Roman"/>
      <w:b/>
      <w:sz w:val="24"/>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泰和泰（重庆）律师事务所</Company>
  <Pages>4</Pages>
  <Words>2067</Words>
  <Characters>2143</Characters>
  <Lines>15</Lines>
  <Paragraphs>4</Paragraphs>
  <TotalTime>37</TotalTime>
  <ScaleCrop>false</ScaleCrop>
  <LinksUpToDate>false</LinksUpToDate>
  <CharactersWithSpaces>2146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2026-05-12T05:07:00Z</dcterms:created>
  <dc:creator>李昱阳律师</dc:creator>
  <cp:lastModifiedBy>Cidispiace,Tiamo</cp:lastModifiedBy>
  <dcterms:modified xsi:type="dcterms:W3CDTF">2026-05-12T07:48:02Z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eyJoZGlkIjoiZjVhNGJiMWVmZTg4ZjFhYWZhYWFiMzBkODkwYWRkZmUiLCJ1c2VySWQiOiIyMzI1Mjc1MDgifQ==</vt:lpwstr>
  </property>
  <property fmtid="{D5CDD505-2E9C-101B-9397-08002B2CF9AE}" pid="3" name="KSOProductBuildVer">
    <vt:lpwstr>2052-12.1.0.26375</vt:lpwstr>
  </property>
  <property fmtid="{D5CDD505-2E9C-101B-9397-08002B2CF9AE}" pid="4" name="ICV">
    <vt:lpwstr>C4B7B7B78EA44497B194547D03414C78_12</vt:lpwstr>
  </property>
</Properties>
</file>